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2126" w14:textId="201F8B19" w:rsidR="00A46962" w:rsidRPr="00A46962" w:rsidRDefault="00A46962" w:rsidP="00A46962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222222"/>
        </w:rPr>
      </w:pPr>
      <w:bookmarkStart w:id="0" w:name="_Hlk224293468"/>
      <w:bookmarkEnd w:id="0"/>
      <w:r w:rsidRPr="00A46962">
        <w:rPr>
          <w:rStyle w:val="Strong"/>
          <w:rFonts w:asciiTheme="minorHAnsi" w:hAnsiTheme="minorHAnsi" w:cstheme="minorHAnsi"/>
          <w:color w:val="222222"/>
        </w:rPr>
        <w:t>PRESS RELEASE</w:t>
      </w:r>
    </w:p>
    <w:p w14:paraId="4B8B9814" w14:textId="75280F3A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Where Credit Risk &amp; Collections Leaders Drive the Future</w:t>
      </w:r>
    </w:p>
    <w:p w14:paraId="501F3133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Global Credit Risk &amp; Debt Recovery Conference 2026</w:t>
      </w:r>
      <w:r w:rsidRPr="00A46962">
        <w:rPr>
          <w:rFonts w:asciiTheme="minorHAnsi" w:hAnsiTheme="minorHAnsi" w:cstheme="minorHAnsi"/>
        </w:rPr>
        <w:br/>
      </w:r>
      <w:r w:rsidRPr="00A46962">
        <w:rPr>
          <w:rStyle w:val="Strong"/>
          <w:rFonts w:asciiTheme="minorHAnsi" w:hAnsiTheme="minorHAnsi" w:cstheme="minorHAnsi"/>
          <w:color w:val="222222"/>
        </w:rPr>
        <w:t>Dates:</w:t>
      </w:r>
      <w:r w:rsidRPr="00A46962">
        <w:rPr>
          <w:rFonts w:asciiTheme="minorHAnsi" w:hAnsiTheme="minorHAnsi" w:cstheme="minorHAnsi"/>
          <w:color w:val="222222"/>
        </w:rPr>
        <w:t> 01 – 02 July 2026</w:t>
      </w:r>
      <w:r w:rsidRPr="00A46962">
        <w:rPr>
          <w:rFonts w:asciiTheme="minorHAnsi" w:hAnsiTheme="minorHAnsi" w:cstheme="minorHAnsi"/>
          <w:color w:val="222222"/>
        </w:rPr>
        <w:br/>
      </w:r>
      <w:r w:rsidRPr="00A46962">
        <w:rPr>
          <w:rStyle w:val="Strong"/>
          <w:rFonts w:asciiTheme="minorHAnsi" w:hAnsiTheme="minorHAnsi" w:cstheme="minorHAnsi"/>
          <w:color w:val="222222"/>
        </w:rPr>
        <w:t>Venue:</w:t>
      </w:r>
      <w:r w:rsidRPr="00A46962">
        <w:rPr>
          <w:rFonts w:asciiTheme="minorHAnsi" w:hAnsiTheme="minorHAnsi" w:cstheme="minorHAnsi"/>
          <w:color w:val="222222"/>
        </w:rPr>
        <w:t> </w:t>
      </w:r>
      <w:proofErr w:type="spellStart"/>
      <w:r w:rsidRPr="00A46962">
        <w:rPr>
          <w:rFonts w:asciiTheme="minorHAnsi" w:hAnsiTheme="minorHAnsi" w:cstheme="minorHAnsi"/>
          <w:color w:val="222222"/>
        </w:rPr>
        <w:t>Mövenpick</w:t>
      </w:r>
      <w:proofErr w:type="spellEnd"/>
      <w:r w:rsidRPr="00A46962">
        <w:rPr>
          <w:rFonts w:asciiTheme="minorHAnsi" w:hAnsiTheme="minorHAnsi" w:cstheme="minorHAnsi"/>
          <w:color w:val="222222"/>
        </w:rPr>
        <w:t xml:space="preserve"> Grand Al Bustan, Dubai, UAE</w:t>
      </w:r>
    </w:p>
    <w:p w14:paraId="45560677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Fonts w:asciiTheme="minorHAnsi" w:hAnsiTheme="minorHAnsi" w:cstheme="minorHAnsi"/>
          <w:color w:val="222222"/>
        </w:rPr>
        <w:t>Dubai, UAE – The </w:t>
      </w:r>
      <w:r w:rsidRPr="00A46962">
        <w:rPr>
          <w:rStyle w:val="Strong"/>
          <w:rFonts w:asciiTheme="minorHAnsi" w:hAnsiTheme="minorHAnsi" w:cstheme="minorHAnsi"/>
          <w:color w:val="222222"/>
        </w:rPr>
        <w:t>Global Credit Risk &amp; Debt Recovery Conference 2026</w:t>
      </w:r>
      <w:r w:rsidRPr="00A46962">
        <w:rPr>
          <w:rFonts w:asciiTheme="minorHAnsi" w:hAnsiTheme="minorHAnsi" w:cstheme="minorHAnsi"/>
          <w:color w:val="222222"/>
        </w:rPr>
        <w:t> is set to bring together senior decision-makers, innovators, and solution providers from across the banking, financial services, and corporate sectors. This premier two-day event will connect </w:t>
      </w:r>
      <w:r w:rsidRPr="00A46962">
        <w:rPr>
          <w:rStyle w:val="Strong"/>
          <w:rFonts w:asciiTheme="minorHAnsi" w:hAnsiTheme="minorHAnsi" w:cstheme="minorHAnsi"/>
          <w:color w:val="222222"/>
        </w:rPr>
        <w:t>100+ senior delegates</w:t>
      </w:r>
      <w:r w:rsidRPr="00A46962">
        <w:rPr>
          <w:rFonts w:asciiTheme="minorHAnsi" w:hAnsiTheme="minorHAnsi" w:cstheme="minorHAnsi"/>
          <w:color w:val="222222"/>
        </w:rPr>
        <w:t> and feature </w:t>
      </w:r>
      <w:r w:rsidRPr="00A46962">
        <w:rPr>
          <w:rStyle w:val="Strong"/>
          <w:rFonts w:asciiTheme="minorHAnsi" w:hAnsiTheme="minorHAnsi" w:cstheme="minorHAnsi"/>
          <w:color w:val="222222"/>
        </w:rPr>
        <w:t>25+ industry experts</w:t>
      </w:r>
      <w:r w:rsidRPr="00A46962">
        <w:rPr>
          <w:rFonts w:asciiTheme="minorHAnsi" w:hAnsiTheme="minorHAnsi" w:cstheme="minorHAnsi"/>
          <w:color w:val="222222"/>
        </w:rPr>
        <w:t>, providing actionable insights into the future of credit, risk, collections, and restructuring.</w:t>
      </w:r>
    </w:p>
    <w:p w14:paraId="701F2D99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Why Attend:</w:t>
      </w:r>
    </w:p>
    <w:p w14:paraId="77252C55" w14:textId="77777777" w:rsidR="00A46962" w:rsidRPr="00A46962" w:rsidRDefault="00A46962" w:rsidP="00A4696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Engage with </w:t>
      </w:r>
      <w:r w:rsidRPr="00A46962">
        <w:rPr>
          <w:rStyle w:val="Strong"/>
          <w:rFonts w:cstheme="minorHAnsi"/>
          <w:color w:val="222222"/>
          <w:sz w:val="24"/>
          <w:szCs w:val="24"/>
        </w:rPr>
        <w:t>CXOs, Credit &amp; Collections Heads, Legal &amp; Compliance Experts, and Finance Leaders</w:t>
      </w:r>
      <w:r w:rsidRPr="00A46962">
        <w:rPr>
          <w:rFonts w:cstheme="minorHAnsi"/>
          <w:sz w:val="24"/>
          <w:szCs w:val="24"/>
        </w:rPr>
        <w:t>.</w:t>
      </w:r>
    </w:p>
    <w:p w14:paraId="6822AC7E" w14:textId="77777777" w:rsidR="00A46962" w:rsidRPr="00A46962" w:rsidRDefault="00A46962" w:rsidP="00A4696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Learn from </w:t>
      </w:r>
      <w:r w:rsidRPr="00A46962">
        <w:rPr>
          <w:rStyle w:val="Strong"/>
          <w:rFonts w:cstheme="minorHAnsi"/>
          <w:color w:val="222222"/>
          <w:sz w:val="24"/>
          <w:szCs w:val="24"/>
        </w:rPr>
        <w:t>expert panels, case studies, and interactive sessions</w:t>
      </w:r>
      <w:r w:rsidRPr="00A46962">
        <w:rPr>
          <w:rFonts w:cstheme="minorHAnsi"/>
          <w:sz w:val="24"/>
          <w:szCs w:val="24"/>
        </w:rPr>
        <w:t>.</w:t>
      </w:r>
    </w:p>
    <w:p w14:paraId="1540421B" w14:textId="77777777" w:rsidR="00A46962" w:rsidRPr="00A46962" w:rsidRDefault="00A46962" w:rsidP="00A4696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Discover </w:t>
      </w:r>
      <w:r w:rsidRPr="00A46962">
        <w:rPr>
          <w:rStyle w:val="Strong"/>
          <w:rFonts w:cstheme="minorHAnsi"/>
          <w:color w:val="222222"/>
          <w:sz w:val="24"/>
          <w:szCs w:val="24"/>
        </w:rPr>
        <w:t>innovative tools and technologies</w:t>
      </w:r>
      <w:r w:rsidRPr="00A46962">
        <w:rPr>
          <w:rFonts w:cstheme="minorHAnsi"/>
          <w:sz w:val="24"/>
          <w:szCs w:val="24"/>
        </w:rPr>
        <w:t> shaping the future of collections and recovery.</w:t>
      </w:r>
    </w:p>
    <w:p w14:paraId="5D34C19A" w14:textId="77777777" w:rsidR="00A46962" w:rsidRPr="00A46962" w:rsidRDefault="00A46962" w:rsidP="00A4696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Network with </w:t>
      </w:r>
      <w:r w:rsidRPr="00A46962">
        <w:rPr>
          <w:rStyle w:val="Strong"/>
          <w:rFonts w:cstheme="minorHAnsi"/>
          <w:color w:val="222222"/>
          <w:sz w:val="24"/>
          <w:szCs w:val="24"/>
        </w:rPr>
        <w:t>regional and international peers</w:t>
      </w:r>
      <w:r w:rsidRPr="00A46962">
        <w:rPr>
          <w:rFonts w:cstheme="minorHAnsi"/>
          <w:sz w:val="24"/>
          <w:szCs w:val="24"/>
        </w:rPr>
        <w:t>, building strategic partnerships.</w:t>
      </w:r>
    </w:p>
    <w:p w14:paraId="4BF408D6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Conference Themes:</w:t>
      </w:r>
    </w:p>
    <w:p w14:paraId="6C03D60D" w14:textId="77777777" w:rsidR="00A46962" w:rsidRPr="00A46962" w:rsidRDefault="00A46962" w:rsidP="00A4696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Digital Transformation &amp; Automation in Collections</w:t>
      </w:r>
    </w:p>
    <w:p w14:paraId="6A37A888" w14:textId="77777777" w:rsidR="00A46962" w:rsidRPr="00A46962" w:rsidRDefault="00A46962" w:rsidP="00A4696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Advanced Analytics &amp; AI in Risk Management</w:t>
      </w:r>
    </w:p>
    <w:p w14:paraId="74495453" w14:textId="77777777" w:rsidR="00A46962" w:rsidRPr="00A46962" w:rsidRDefault="00A46962" w:rsidP="00A4696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Strategic Debt Recovery &amp; Restructuring</w:t>
      </w:r>
    </w:p>
    <w:p w14:paraId="3C34FC13" w14:textId="77777777" w:rsidR="00A46962" w:rsidRPr="00A46962" w:rsidRDefault="00A46962" w:rsidP="00A4696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Compliance &amp; Regulatory Updates</w:t>
      </w:r>
    </w:p>
    <w:p w14:paraId="57B72B8F" w14:textId="77777777" w:rsidR="00A46962" w:rsidRPr="00A46962" w:rsidRDefault="00A46962" w:rsidP="00A4696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46962">
        <w:rPr>
          <w:rFonts w:cstheme="minorHAnsi"/>
          <w:sz w:val="24"/>
          <w:szCs w:val="24"/>
        </w:rPr>
        <w:t>Product Steering &amp; Operational Efficiency</w:t>
      </w:r>
    </w:p>
    <w:p w14:paraId="290EF1CE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Fonts w:asciiTheme="minorHAnsi" w:hAnsiTheme="minorHAnsi" w:cstheme="minorHAnsi"/>
          <w:color w:val="222222"/>
        </w:rPr>
        <w:t>This event provides a </w:t>
      </w:r>
      <w:r w:rsidRPr="00A46962">
        <w:rPr>
          <w:rStyle w:val="Strong"/>
          <w:rFonts w:asciiTheme="minorHAnsi" w:hAnsiTheme="minorHAnsi" w:cstheme="minorHAnsi"/>
          <w:color w:val="222222"/>
        </w:rPr>
        <w:t>unique opportunity</w:t>
      </w:r>
      <w:r w:rsidRPr="00A46962">
        <w:rPr>
          <w:rFonts w:asciiTheme="minorHAnsi" w:hAnsiTheme="minorHAnsi" w:cstheme="minorHAnsi"/>
          <w:color w:val="222222"/>
        </w:rPr>
        <w:t> to learn, collaborate, and contribute to shaping the future of credit risk and recovery strategies in the region.</w:t>
      </w:r>
    </w:p>
    <w:p w14:paraId="3D5F320B" w14:textId="77777777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Sponsorship &amp; Registration:</w:t>
      </w:r>
      <w:r w:rsidRPr="00A46962">
        <w:rPr>
          <w:rFonts w:asciiTheme="minorHAnsi" w:hAnsiTheme="minorHAnsi" w:cstheme="minorHAnsi"/>
          <w:color w:val="222222"/>
        </w:rPr>
        <w:br/>
        <w:t>Explore partnership opportunities or register your interest here: </w:t>
      </w:r>
      <w:hyperlink r:id="rId5" w:tgtFrame="_blank" w:history="1">
        <w:r w:rsidRPr="00A46962">
          <w:rPr>
            <w:rStyle w:val="Hyperlink"/>
            <w:rFonts w:asciiTheme="minorHAnsi" w:hAnsiTheme="minorHAnsi" w:cstheme="minorHAnsi"/>
            <w:color w:val="1155CC"/>
          </w:rPr>
          <w:t>https://www.thegcrd.com/register.html</w:t>
        </w:r>
      </w:hyperlink>
    </w:p>
    <w:p w14:paraId="3DB99CF9" w14:textId="569EEB34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Contact:</w:t>
      </w:r>
      <w:r w:rsidRPr="00A46962">
        <w:rPr>
          <w:rFonts w:asciiTheme="minorHAnsi" w:hAnsiTheme="minorHAnsi" w:cstheme="minorHAnsi"/>
          <w:color w:val="222222"/>
        </w:rPr>
        <w:br/>
      </w:r>
      <w:r w:rsidRPr="00A46962">
        <w:rPr>
          <w:rStyle w:val="Strong"/>
          <w:rFonts w:asciiTheme="minorHAnsi" w:hAnsiTheme="minorHAnsi" w:cstheme="minorHAnsi"/>
          <w:color w:val="222222"/>
        </w:rPr>
        <w:t>Tridib Panda</w:t>
      </w:r>
      <w:r w:rsidRPr="00A46962">
        <w:rPr>
          <w:rFonts w:asciiTheme="minorHAnsi" w:hAnsiTheme="minorHAnsi" w:cstheme="minorHAnsi"/>
          <w:color w:val="222222"/>
        </w:rPr>
        <w:t>, Project Manager, TAB Group</w:t>
      </w:r>
    </w:p>
    <w:p w14:paraId="080FB168" w14:textId="322A9E8F" w:rsidR="00A46962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A46962">
        <w:rPr>
          <w:rFonts w:asciiTheme="minorHAnsi" w:hAnsiTheme="minorHAnsi" w:cstheme="minorHAnsi"/>
          <w:b/>
          <w:bCs/>
          <w:noProof/>
          <w:color w:val="222222"/>
        </w:rPr>
        <w:t>Email:</w:t>
      </w:r>
      <w:r w:rsidRPr="00A46962">
        <w:rPr>
          <w:rFonts w:asciiTheme="minorHAnsi" w:hAnsiTheme="minorHAnsi" w:cstheme="minorHAnsi"/>
          <w:color w:val="222222"/>
        </w:rPr>
        <w:t> tridib.panda@tab-global.com | </w:t>
      </w:r>
      <w:r w:rsidRPr="00A46962">
        <w:rPr>
          <w:rFonts w:asciiTheme="minorHAnsi" w:hAnsiTheme="minorHAnsi" w:cstheme="minorHAnsi"/>
          <w:b/>
          <w:bCs/>
          <w:noProof/>
          <w:color w:val="222222"/>
        </w:rPr>
        <w:t>Tel:</w:t>
      </w:r>
      <w:r w:rsidRPr="00A46962">
        <w:rPr>
          <w:rFonts w:asciiTheme="minorHAnsi" w:hAnsiTheme="minorHAnsi" w:cstheme="minorHAnsi"/>
          <w:color w:val="222222"/>
        </w:rPr>
        <w:t> +91 74999 13099</w:t>
      </w:r>
      <w:r>
        <w:rPr>
          <w:rFonts w:asciiTheme="minorHAnsi" w:hAnsiTheme="minorHAnsi" w:cstheme="minorHAnsi"/>
          <w:color w:val="222222"/>
        </w:rPr>
        <w:t xml:space="preserve"> |</w:t>
      </w:r>
      <w:r w:rsidRPr="00A46962">
        <w:rPr>
          <w:rFonts w:asciiTheme="minorHAnsi" w:hAnsiTheme="minorHAnsi" w:cstheme="minorHAnsi"/>
          <w:b/>
          <w:bCs/>
          <w:color w:val="222222"/>
        </w:rPr>
        <w:t>Web:</w:t>
      </w:r>
      <w:r w:rsidRPr="00A46962">
        <w:rPr>
          <w:rFonts w:asciiTheme="minorHAnsi" w:hAnsiTheme="minorHAnsi" w:cstheme="minorHAnsi"/>
          <w:color w:val="222222"/>
        </w:rPr>
        <w:t> </w:t>
      </w:r>
      <w:hyperlink r:id="rId6" w:history="1">
        <w:r w:rsidRPr="005B2C60">
          <w:rPr>
            <w:rStyle w:val="Hyperlink"/>
            <w:rFonts w:asciiTheme="minorHAnsi" w:hAnsiTheme="minorHAnsi" w:cstheme="minorHAnsi"/>
          </w:rPr>
          <w:t>www.tab-global.com</w:t>
        </w:r>
      </w:hyperlink>
    </w:p>
    <w:p w14:paraId="530FC876" w14:textId="2811A540" w:rsidR="00740DEE" w:rsidRPr="00A46962" w:rsidRDefault="00A46962" w:rsidP="00A4696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A46962">
        <w:rPr>
          <w:rStyle w:val="Strong"/>
          <w:rFonts w:asciiTheme="minorHAnsi" w:hAnsiTheme="minorHAnsi" w:cstheme="minorHAnsi"/>
          <w:color w:val="222222"/>
        </w:rPr>
        <w:t>About TAB Group:</w:t>
      </w:r>
      <w:r w:rsidRPr="00A46962">
        <w:rPr>
          <w:rFonts w:asciiTheme="minorHAnsi" w:hAnsiTheme="minorHAnsi" w:cstheme="minorHAnsi"/>
          <w:color w:val="222222"/>
        </w:rPr>
        <w:br/>
        <w:t>TAB Group delivers large-scale conferences, exhibitions, and bespoke events across Banking &amp; Financial Services, Mining, Agriculture, and Building Materials, creating impactful platforms that drive collaboration and growth.</w:t>
      </w:r>
    </w:p>
    <w:sectPr w:rsidR="00740DEE" w:rsidRPr="00A46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9A4"/>
    <w:multiLevelType w:val="multilevel"/>
    <w:tmpl w:val="1802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B534E"/>
    <w:multiLevelType w:val="hybridMultilevel"/>
    <w:tmpl w:val="1DA0F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165F"/>
    <w:multiLevelType w:val="multilevel"/>
    <w:tmpl w:val="C7C2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63788"/>
    <w:multiLevelType w:val="hybridMultilevel"/>
    <w:tmpl w:val="27EAA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0216">
    <w:abstractNumId w:val="0"/>
  </w:num>
  <w:num w:numId="2" w16cid:durableId="1437018721">
    <w:abstractNumId w:val="2"/>
  </w:num>
  <w:num w:numId="3" w16cid:durableId="398327824">
    <w:abstractNumId w:val="1"/>
  </w:num>
  <w:num w:numId="4" w16cid:durableId="160584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2"/>
    <w:rsid w:val="00740DEE"/>
    <w:rsid w:val="00A4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9757"/>
  <w15:chartTrackingRefBased/>
  <w15:docId w15:val="{CCBD8020-063E-4BC4-BE54-E2546ED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6962"/>
    <w:rPr>
      <w:b/>
      <w:bCs/>
    </w:rPr>
  </w:style>
  <w:style w:type="character" w:styleId="Hyperlink">
    <w:name w:val="Hyperlink"/>
    <w:basedOn w:val="DefaultParagraphFont"/>
    <w:uiPriority w:val="99"/>
    <w:unhideWhenUsed/>
    <w:rsid w:val="00A46962"/>
    <w:rPr>
      <w:color w:val="0000FF"/>
      <w:u w:val="single"/>
    </w:rPr>
  </w:style>
  <w:style w:type="paragraph" w:styleId="NoSpacing">
    <w:name w:val="No Spacing"/>
    <w:uiPriority w:val="1"/>
    <w:qFormat/>
    <w:rsid w:val="00A469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b-global.com" TargetMode="External"/><Relationship Id="rId5" Type="http://schemas.openxmlformats.org/officeDocument/2006/relationships/hyperlink" Target="https://www.thegcrd.com/regis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2026-03-13T05:45:00Z</dcterms:created>
  <dcterms:modified xsi:type="dcterms:W3CDTF">2026-03-13T05:55:00Z</dcterms:modified>
</cp:coreProperties>
</file>