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IMMEDIATE RELEASE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UAE Institutional Leaders Gather in Abu Dhabi as Digital Asset Strategy Accelerates Across the Gulf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Global banks, asset managers, regulators, and sovereign-backed institutions convene at the inaugural Digital Assets Forum Abu Dhabi to assess institutional adoption under the UAE’s progressive regulatory framework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Abu Dhabi, United Arab Emirates— </w:t>
      </w:r>
      <w:r w:rsidDel="00000000" w:rsidR="00000000" w:rsidRPr="00000000">
        <w:rPr>
          <w:rtl w:val="0"/>
        </w:rPr>
        <w:t xml:space="preserve">Senior leaders from global finance, digital asset infrastructure, and regulatory institutions will convene in Abu Dhabi on May 13, 2026, for the inaugural Digital Assets Forum Abu Dhabi — a highly curated gathering examining the adoption of digital assets under the UAE’s progressive regulatory framework.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forum comes amid rapid institutional momentum across the Gulf. The UAE has emerged as a global leader in digital asset regulation, providing structured licensing regimes, sovereign-backed innovation programs, and a robust ecosystem where banks, asset managers, and institutional investors are actively deploying capital and forming strategic partnerships.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Following the successful third edition of Digital Assets Forum in London — which gathered nearly 2,000 senior attendees from global banks, asset managers, and infrastructure providers — the forum now expands to the Middle East at a pivotal moment.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"Across our successful London editions, we have seen how regulatory clarity drives institutional engagement," said Victoria Gago, Co-Founder of Digital Assets Forum. "Abu Dhabi is now at the center of a structural shift in global finance, with capital concentration, infrastructure buildout, and global firms relocating headquarters. This forum brings together the decision-makers who are shaping the future of digital finance and turning strategy into action."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Confirmed institutional speakers include Christoph Richter, Head of Digital Assets &amp; AI at ADGM; Sebastian Widmann, Head of Dubai at Komainu; Karl Naim, Group Chief Commercial Officer at XBTO Middle East; Yan Ma, Executive Director at Spartan Group; Catrina Wang, General Partner at Portal Ventures; Elliot Andrews, CEO of Aspen Digital; and Rachel Conlan, Global Chief Marketing Officer at Binance.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DAF Abu Dhabi  will examine UAE digital asset regulation versus other jurisdictions, institutional digital asset management and portfolio strategies, stablecoins, payments and CBDCs, DeFi and TradFi integration, real-world asset tokenisation (RWA), the state of crypto ETFs, liquidity, custody and institutional market infrastructure, and institutional risk management frameworks — all with a focus on practical outcomes that enable investment, capital allocation, and partnership execution.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Digital Assets Forum Abu Dhabi is designed as a highly curated, executive-level gathering focused on deal-making, capital deployment, and strategic partnership formation. The format includes main-stage panels, closed-door sessions, dedicated one-to-one meeting areas, and private briefing rooms. The objective is not retail awareness, but to translate dialogue into tangible agreements and coordinated investment strategies for 2026 and beyond.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k39cqp4hlm7u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About Digital Assets Forum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Digital Assets Forum is a global institutional series bridging traditional finance and digital assets.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Abu Dhabi edition marks its expansion into the Middle East, following established editions in London.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Launched in 2018 in Barcelona, the European Blockchain Convention — organiser of Digital Assets Forum — has become one of Europe’s leading blockchain platforms for financial institutions, policymakers, and infrastructure providers integrating blockchain into mainstream finance.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For tickets and information:</w:t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www.eblockchainconvention.com/digital-assets-forum-abu-dhabi/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blockchainconvention.com/digital-assets-forum-abu-dhab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gsZ+0SPago9BWna93K2DwEGpjA==">CgMxLjAyDmguazM5Y3FwNGhsbTd1OAByITExekhkYmNNZFNDWWJWeVdWWXhTQy1UaFI4dHBiS1FfZQ==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