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99B" w14:textId="77777777" w:rsidR="00742CFF" w:rsidRPr="00742CFF" w:rsidRDefault="00742CFF" w:rsidP="00742CFF">
      <w:pPr>
        <w:rPr>
          <w:rFonts w:ascii="IBM Plex Sans Arabic" w:hAnsi="IBM Plex Sans Arabic" w:cs="IBM Plex Sans Arabic"/>
          <w:sz w:val="22"/>
          <w:szCs w:val="22"/>
        </w:rPr>
      </w:pPr>
      <w:bookmarkStart w:id="0" w:name="_GoBack"/>
      <w:bookmarkEnd w:id="0"/>
      <w:r w:rsidRPr="00742CFF">
        <w:rPr>
          <w:rFonts w:ascii="IBM Plex Sans Arabic" w:hAnsi="IBM Plex Sans Arabic" w:cs="IBM Plex Sans Arabic"/>
          <w:b/>
          <w:bCs/>
          <w:sz w:val="22"/>
          <w:szCs w:val="22"/>
        </w:rPr>
        <w:t>Saudi Arabia’s Water Sector Participates in IFAT 2026 to Showcase the Kingdom’s Integrated Model for Water Security Management</w:t>
      </w:r>
      <w:r w:rsidRPr="00742CFF">
        <w:rPr>
          <w:rFonts w:ascii="IBM Plex Sans Arabic" w:hAnsi="IBM Plex Sans Arabic" w:cs="IBM Plex Sans Arabic"/>
          <w:b/>
          <w:bCs/>
          <w:sz w:val="22"/>
          <w:szCs w:val="22"/>
        </w:rPr>
        <w:br/>
      </w:r>
      <w:r w:rsidRPr="00742CFF">
        <w:rPr>
          <w:rFonts w:ascii="IBM Plex Sans Arabic" w:hAnsi="IBM Plex Sans Arabic" w:cs="IBM Plex Sans Arabic"/>
          <w:b/>
          <w:bCs/>
          <w:sz w:val="22"/>
          <w:szCs w:val="22"/>
        </w:rPr>
        <w:br/>
        <w:t>Riyadh – January 2026</w:t>
      </w:r>
      <w:r w:rsidRPr="00742CFF">
        <w:rPr>
          <w:rFonts w:ascii="IBM Plex Sans Arabic" w:hAnsi="IBM Plex Sans Arabic" w:cs="IBM Plex Sans Arabic"/>
          <w:sz w:val="22"/>
          <w:szCs w:val="22"/>
        </w:rPr>
        <w:br/>
      </w:r>
      <w:r w:rsidRPr="00742CFF">
        <w:rPr>
          <w:rFonts w:ascii="IBM Plex Sans Arabic" w:hAnsi="IBM Plex Sans Arabic" w:cs="IBM Plex Sans Arabic"/>
          <w:sz w:val="22"/>
          <w:szCs w:val="22"/>
        </w:rPr>
        <w:br/>
        <w:t>Saudi Arabia’s water sector will participate in IFAT 2026, taking place from 26 to 28 January 2026, as part of its efforts to highlight the Kingdom’s leadership in efficient water security management, the adoption of innovative technological solutions, enhancing environmental sustainability practices, and the integration of circular economy principles within the water sector.</w:t>
      </w:r>
      <w:r w:rsidRPr="00742CFF">
        <w:rPr>
          <w:rFonts w:ascii="IBM Plex Sans Arabic" w:hAnsi="IBM Plex Sans Arabic" w:cs="IBM Plex Sans Arabic"/>
          <w:sz w:val="22"/>
          <w:szCs w:val="22"/>
        </w:rPr>
        <w:br/>
      </w:r>
      <w:r w:rsidRPr="00742CFF">
        <w:rPr>
          <w:rFonts w:ascii="IBM Plex Sans Arabic" w:hAnsi="IBM Plex Sans Arabic" w:cs="IBM Plex Sans Arabic"/>
          <w:sz w:val="22"/>
          <w:szCs w:val="22"/>
        </w:rPr>
        <w:br/>
        <w:t>This participation underscores the water sector’s position as a comprehensive national model for managing water resources from source to end user, through production, transmission, distribution, treatment, and reuse under an organizational governance framework that contributes to enhancing water supply efficiency, optimizing resource use, and ensuring long-term sustainability, in line with the objectives of the National Water Strategy and Saudi Vision 2030.</w:t>
      </w:r>
      <w:r w:rsidRPr="00742CFF">
        <w:rPr>
          <w:rFonts w:ascii="IBM Plex Sans Arabic" w:hAnsi="IBM Plex Sans Arabic" w:cs="IBM Plex Sans Arabic"/>
          <w:sz w:val="22"/>
          <w:szCs w:val="22"/>
        </w:rPr>
        <w:br/>
      </w:r>
      <w:r w:rsidRPr="00742CFF">
        <w:rPr>
          <w:rFonts w:ascii="IBM Plex Sans Arabic" w:hAnsi="IBM Plex Sans Arabic" w:cs="IBM Plex Sans Arabic"/>
          <w:sz w:val="22"/>
          <w:szCs w:val="22"/>
        </w:rPr>
        <w:br/>
        <w:t>The sector’s participation will include panel discussions and specialized presentations highlighting Saudi Arabia’s experience in water resource sustainability, water reuse, and innovation in desalination and treatment technologies, while also showcasing circular economy applications and the role of research and development in strengthening sector reliability and operational efficiency.</w:t>
      </w:r>
      <w:r w:rsidRPr="00742CFF">
        <w:rPr>
          <w:rFonts w:ascii="IBM Plex Sans Arabic" w:hAnsi="IBM Plex Sans Arabic" w:cs="IBM Plex Sans Arabic"/>
          <w:sz w:val="22"/>
          <w:szCs w:val="22"/>
        </w:rPr>
        <w:br/>
      </w:r>
      <w:r w:rsidRPr="00742CFF">
        <w:rPr>
          <w:rFonts w:ascii="IBM Plex Sans Arabic" w:hAnsi="IBM Plex Sans Arabic" w:cs="IBM Plex Sans Arabic"/>
          <w:sz w:val="22"/>
          <w:szCs w:val="22"/>
        </w:rPr>
        <w:br/>
        <w:t>In addition, the water sector will engage in the exhibition through a range of interactive pavilions reflecting the integration of its roles and the diversity of its initiatives. The main pavilion will present the comprehensive operating model of the water sector, its strategic projects, and the non-network water services. The Water Academy pavilion will highlight its role in developing national talent, building research capabilities, and enabling innovation.</w:t>
      </w:r>
      <w:r w:rsidRPr="00742CFF">
        <w:rPr>
          <w:rFonts w:ascii="IBM Plex Sans Arabic" w:hAnsi="IBM Plex Sans Arabic" w:cs="IBM Plex Sans Arabic"/>
          <w:sz w:val="22"/>
          <w:szCs w:val="22"/>
        </w:rPr>
        <w:br/>
      </w:r>
      <w:r w:rsidRPr="00742CFF">
        <w:rPr>
          <w:rFonts w:ascii="IBM Plex Sans Arabic" w:hAnsi="IBM Plex Sans Arabic" w:cs="IBM Plex Sans Arabic"/>
          <w:sz w:val="22"/>
          <w:szCs w:val="22"/>
        </w:rPr>
        <w:br/>
        <w:t>The Saudi water sector emphasized that its participation in this international event reflects its continued commitment to advancing the sector, enhancing supply reliability, protecting natural resources, and achieving comprehensive water sustainability that supports national development, improves quality of life, and reinforces the Kingdom’s position as a global benchmark in water resource management.</w:t>
      </w:r>
    </w:p>
    <w:p w14:paraId="70D9BEC4" w14:textId="77777777" w:rsidR="003252F6" w:rsidRPr="00742CFF" w:rsidRDefault="0011118E">
      <w:pPr>
        <w:rPr>
          <w:rFonts w:ascii="IBM Plex Sans Arabic" w:hAnsi="IBM Plex Sans Arabic" w:cs="IBM Plex Sans Arabic"/>
        </w:rPr>
      </w:pPr>
    </w:p>
    <w:sectPr w:rsidR="003252F6" w:rsidRPr="00742CFF" w:rsidSect="00F664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33789" w14:textId="77777777" w:rsidR="0011118E" w:rsidRDefault="0011118E" w:rsidP="00742CFF">
      <w:r>
        <w:separator/>
      </w:r>
    </w:p>
  </w:endnote>
  <w:endnote w:type="continuationSeparator" w:id="0">
    <w:p w14:paraId="32E48ED3" w14:textId="77777777" w:rsidR="0011118E" w:rsidRDefault="0011118E" w:rsidP="007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Arabic">
    <w:panose1 w:val="020B0503050203000203"/>
    <w:charset w:val="00"/>
    <w:family w:val="swiss"/>
    <w:pitch w:val="variable"/>
    <w:sig w:usb0="A0002063" w:usb1="D000007B" w:usb2="00000008" w:usb3="00000000" w:csb0="00000141"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246E" w14:textId="4E1CF452" w:rsidR="00742CFF" w:rsidRPr="0030042A" w:rsidRDefault="0030042A" w:rsidP="0030042A">
    <w:pPr>
      <w:pStyle w:val="Footer"/>
      <w:jc w:val="right"/>
    </w:pPr>
    <w:r>
      <w:rPr>
        <w:rFonts w:cs="Akhbar MT"/>
        <w:sz w:val="36"/>
        <w:szCs w:val="36"/>
        <w:lang w:bidi="ar-AE"/>
      </w:rPr>
      <w:fldChar w:fldCharType="begin" w:fldLock="1"/>
    </w:r>
    <w:r>
      <w:rPr>
        <w:rFonts w:cs="Akhbar MT"/>
        <w:sz w:val="36"/>
        <w:szCs w:val="36"/>
        <w:lang w:bidi="ar-AE"/>
      </w:rPr>
      <w:instrText xml:space="preserve"> DOCPROPERTY bjFooterEvenPageDocProperty \* MERGEFORMAT </w:instrText>
    </w:r>
    <w:r>
      <w:rPr>
        <w:rFonts w:cs="Akhbar MT"/>
        <w:sz w:val="36"/>
        <w:szCs w:val="36"/>
        <w:lang w:bidi="ar-AE"/>
      </w:rPr>
      <w:fldChar w:fldCharType="separate"/>
    </w:r>
    <w:r w:rsidRPr="00AF775A">
      <w:rPr>
        <w:rFonts w:ascii="Arial" w:hAnsi="Arial" w:cs="Arial"/>
        <w:bCs/>
        <w:color w:val="000000"/>
        <w:lang w:bidi="ar-AE"/>
      </w:rPr>
      <w:t xml:space="preserve">Public    </w:t>
    </w:r>
    <w:r w:rsidRPr="00AF775A">
      <w:rPr>
        <w:rFonts w:ascii="Arial" w:hAnsi="Arial" w:cs="Akhbar MT"/>
        <w:bCs/>
        <w:color w:val="000000"/>
        <w:rtl/>
        <w:lang w:bidi="ar-AE"/>
      </w:rPr>
      <w:t>عام</w:t>
    </w:r>
    <w:r>
      <w:rPr>
        <w:rFonts w:cs="Akhbar MT"/>
        <w:sz w:val="36"/>
        <w:szCs w:val="36"/>
        <w:rtl/>
        <w:lang w:bidi="ar-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B97D" w14:textId="716905CF" w:rsidR="00742CFF" w:rsidRPr="0030042A" w:rsidRDefault="0030042A" w:rsidP="0030042A">
    <w:pPr>
      <w:pStyle w:val="Footer"/>
      <w:jc w:val="right"/>
    </w:pPr>
    <w:r>
      <w:rPr>
        <w:rFonts w:cs="Akhbar MT"/>
        <w:sz w:val="36"/>
        <w:szCs w:val="36"/>
        <w:lang w:bidi="ar-AE"/>
      </w:rPr>
      <w:fldChar w:fldCharType="begin" w:fldLock="1"/>
    </w:r>
    <w:r>
      <w:rPr>
        <w:rFonts w:cs="Akhbar MT"/>
        <w:sz w:val="36"/>
        <w:szCs w:val="36"/>
        <w:lang w:bidi="ar-AE"/>
      </w:rPr>
      <w:instrText xml:space="preserve"> DOCPROPERTY bjFooterBothDocProperty \* MERGEFORMAT </w:instrText>
    </w:r>
    <w:r>
      <w:rPr>
        <w:rFonts w:cs="Akhbar MT"/>
        <w:sz w:val="36"/>
        <w:szCs w:val="36"/>
        <w:lang w:bidi="ar-AE"/>
      </w:rPr>
      <w:fldChar w:fldCharType="separate"/>
    </w:r>
    <w:r w:rsidRPr="00AF775A">
      <w:rPr>
        <w:rFonts w:ascii="Arial" w:hAnsi="Arial" w:cs="Arial"/>
        <w:bCs/>
        <w:color w:val="000000"/>
        <w:lang w:bidi="ar-AE"/>
      </w:rPr>
      <w:t xml:space="preserve">Public    </w:t>
    </w:r>
    <w:r w:rsidRPr="00AF775A">
      <w:rPr>
        <w:rFonts w:ascii="Arial" w:hAnsi="Arial" w:cs="Akhbar MT"/>
        <w:bCs/>
        <w:color w:val="000000"/>
        <w:rtl/>
        <w:lang w:bidi="ar-AE"/>
      </w:rPr>
      <w:t>عام</w:t>
    </w:r>
    <w:r>
      <w:rPr>
        <w:rFonts w:cs="Akhbar MT"/>
        <w:sz w:val="36"/>
        <w:szCs w:val="36"/>
        <w:rtl/>
        <w:lang w:bidi="ar-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8B46" w14:textId="4ED363A2" w:rsidR="00742CFF" w:rsidRPr="0030042A" w:rsidRDefault="0030042A" w:rsidP="0030042A">
    <w:pPr>
      <w:pStyle w:val="Footer"/>
      <w:jc w:val="right"/>
    </w:pPr>
    <w:r>
      <w:rPr>
        <w:rFonts w:cs="Akhbar MT"/>
        <w:sz w:val="36"/>
        <w:szCs w:val="36"/>
        <w:lang w:bidi="ar-AE"/>
      </w:rPr>
      <w:fldChar w:fldCharType="begin" w:fldLock="1"/>
    </w:r>
    <w:r>
      <w:rPr>
        <w:rFonts w:cs="Akhbar MT"/>
        <w:sz w:val="36"/>
        <w:szCs w:val="36"/>
        <w:lang w:bidi="ar-AE"/>
      </w:rPr>
      <w:instrText xml:space="preserve"> DOCPROPERTY bjFooterFirstPageDocProperty \* MERGEFORMAT </w:instrText>
    </w:r>
    <w:r>
      <w:rPr>
        <w:rFonts w:cs="Akhbar MT"/>
        <w:sz w:val="36"/>
        <w:szCs w:val="36"/>
        <w:lang w:bidi="ar-AE"/>
      </w:rPr>
      <w:fldChar w:fldCharType="separate"/>
    </w:r>
    <w:r w:rsidRPr="00AF775A">
      <w:rPr>
        <w:rFonts w:ascii="Arial" w:hAnsi="Arial" w:cs="Arial"/>
        <w:bCs/>
        <w:color w:val="000000"/>
        <w:lang w:bidi="ar-AE"/>
      </w:rPr>
      <w:t xml:space="preserve">Public    </w:t>
    </w:r>
    <w:r w:rsidRPr="00AF775A">
      <w:rPr>
        <w:rFonts w:ascii="Arial" w:hAnsi="Arial" w:cs="Akhbar MT"/>
        <w:bCs/>
        <w:color w:val="000000"/>
        <w:rtl/>
        <w:lang w:bidi="ar-AE"/>
      </w:rPr>
      <w:t>عام</w:t>
    </w:r>
    <w:r>
      <w:rPr>
        <w:rFonts w:cs="Akhbar MT"/>
        <w:sz w:val="36"/>
        <w:szCs w:val="36"/>
        <w:rtl/>
        <w:lang w:bidi="ar-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C0D4" w14:textId="77777777" w:rsidR="0011118E" w:rsidRDefault="0011118E" w:rsidP="00742CFF">
      <w:r>
        <w:separator/>
      </w:r>
    </w:p>
  </w:footnote>
  <w:footnote w:type="continuationSeparator" w:id="0">
    <w:p w14:paraId="2C3D6BE4" w14:textId="77777777" w:rsidR="0011118E" w:rsidRDefault="0011118E" w:rsidP="0074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41F2" w14:textId="77777777" w:rsidR="00742CFF" w:rsidRDefault="00742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FBC2" w14:textId="77777777" w:rsidR="00742CFF" w:rsidRDefault="007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6463" w14:textId="77777777" w:rsidR="00742CFF" w:rsidRDefault="00742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16"/>
    <w:rsid w:val="00057189"/>
    <w:rsid w:val="0011118E"/>
    <w:rsid w:val="0030042A"/>
    <w:rsid w:val="00504DD6"/>
    <w:rsid w:val="00742CFF"/>
    <w:rsid w:val="00775F16"/>
    <w:rsid w:val="00AE6000"/>
    <w:rsid w:val="00B002C6"/>
    <w:rsid w:val="00C93033"/>
    <w:rsid w:val="00F6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C1C961-C87C-4D81-BD94-8A60067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CF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CFF"/>
    <w:pPr>
      <w:tabs>
        <w:tab w:val="center" w:pos="4680"/>
        <w:tab w:val="right" w:pos="9360"/>
      </w:tabs>
    </w:pPr>
  </w:style>
  <w:style w:type="character" w:customStyle="1" w:styleId="HeaderChar">
    <w:name w:val="Header Char"/>
    <w:basedOn w:val="DefaultParagraphFont"/>
    <w:link w:val="Header"/>
    <w:uiPriority w:val="99"/>
    <w:rsid w:val="00742CFF"/>
    <w:rPr>
      <w:rFonts w:ascii="Calibri" w:eastAsia="Times New Roman" w:hAnsi="Calibri" w:cs="Calibri"/>
      <w:sz w:val="20"/>
      <w:szCs w:val="20"/>
    </w:rPr>
  </w:style>
  <w:style w:type="paragraph" w:styleId="Footer">
    <w:name w:val="footer"/>
    <w:basedOn w:val="Normal"/>
    <w:link w:val="FooterChar"/>
    <w:uiPriority w:val="99"/>
    <w:unhideWhenUsed/>
    <w:rsid w:val="00742CFF"/>
    <w:pPr>
      <w:tabs>
        <w:tab w:val="center" w:pos="4680"/>
        <w:tab w:val="right" w:pos="9360"/>
      </w:tabs>
    </w:pPr>
  </w:style>
  <w:style w:type="character" w:customStyle="1" w:styleId="FooterChar">
    <w:name w:val="Footer Char"/>
    <w:basedOn w:val="DefaultParagraphFont"/>
    <w:link w:val="Footer"/>
    <w:uiPriority w:val="99"/>
    <w:rsid w:val="00742CFF"/>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2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fdbae9c-2438-45b8-abb0-4c49a55f8c90" origin="userSelected">
  <element uid="22f676af-bc56-4cb6-b526-48512d04feea" value=""/>
</sisl>
</file>

<file path=customXml/itemProps1.xml><?xml version="1.0" encoding="utf-8"?>
<ds:datastoreItem xmlns:ds="http://schemas.openxmlformats.org/officeDocument/2006/customXml" ds:itemID="{F4489B90-069F-4E22-9A49-8C09BFF36C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1954</Characters>
  <Application>Microsoft Office Word</Application>
  <DocSecurity>0</DocSecurity>
  <Lines>35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 KURAYDIS</dc:creator>
  <cp:keywords/>
  <dc:description/>
  <cp:lastModifiedBy>SAAD S. KURAYDIS</cp:lastModifiedBy>
  <cp:revision>4</cp:revision>
  <cp:lastPrinted>2026-01-24T19:27:00Z</cp:lastPrinted>
  <dcterms:created xsi:type="dcterms:W3CDTF">2026-01-24T19:25:00Z</dcterms:created>
  <dcterms:modified xsi:type="dcterms:W3CDTF">2026-01-24T19:27:00Z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c24613d8-992e-4b3e-a9d6-b3ba164e37c9</vt:lpwstr>
  </op:property>
  <op:property fmtid="{D5CDD505-2E9C-101B-9397-08002B2CF9AE}" pid="3" name="bjClsUserRVM">
    <vt:lpwstr>[]</vt:lpwstr>
  </op:property>
  <op:property fmtid="{D5CDD505-2E9C-101B-9397-08002B2CF9AE}" pid="6" name="bjDocumentSecurityLabel">
    <vt:lpwstr>Public    عام</vt:lpwstr>
  </op:property>
  <op:property fmtid="{D5CDD505-2E9C-101B-9397-08002B2CF9AE}" pid="7" name="bjFooterBothDocProperty">
    <vt:lpwstr>Public    عام</vt:lpwstr>
  </op:property>
  <op:property fmtid="{D5CDD505-2E9C-101B-9397-08002B2CF9AE}" pid="8" name="bjFooterFirstPageDocProperty">
    <vt:lpwstr>Public    عام</vt:lpwstr>
  </op:property>
  <op:property fmtid="{D5CDD505-2E9C-101B-9397-08002B2CF9AE}" pid="9" name="bjFooterEvenPageDocProperty">
    <vt:lpwstr>Public    عام</vt:lpwstr>
  </op:property>
  <op:property fmtid="{D5CDD505-2E9C-101B-9397-08002B2CF9AE}" pid="10" name="bjSaver">
    <vt:lpwstr>ZV8vW5oQIggPOpJBbnhzp+3/vXtKjnM+</vt:lpwstr>
  </op:property>
  <op:property fmtid="{D5CDD505-2E9C-101B-9397-08002B2CF9AE}" pid="11" name="bjDocumentLabelXML">
    <vt:lpwstr>&lt;?xml version="1.0" encoding="us-ascii"?&gt;&lt;sisl xmlns:xsd="http://www.w3.org/2001/XMLSchema" xmlns:xsi="http://www.w3.org/2001/XMLSchema-instance" sislVersion="0" policy="6fdbae9c-2438-45b8-abb0-4c49a55f8c90" origin="userSelected" xmlns="http://www.boldonj</vt:lpwstr>
  </op:property>
  <op:property fmtid="{D5CDD505-2E9C-101B-9397-08002B2CF9AE}" pid="12" name="bjDocumentLabelXML-0">
    <vt:lpwstr>ames.com/2008/01/sie/internal/label"&gt;&lt;element uid="22f676af-bc56-4cb6-b526-48512d04feea" value="" /&gt;&lt;/sisl&gt;</vt:lpwstr>
  </op:property>
  <op:property fmtid="{D5CDD505-2E9C-101B-9397-08002B2CF9AE}" pid="13" name="bjLabelRefreshRequired">
    <vt:lpwstr>FileClassifier</vt:lpwstr>
  </op:property>
</op:Properties>
</file>